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36A88" w:rsidRDefault="00CA76F2">
      <w:r>
        <w:rPr>
          <w:b/>
          <w:noProof/>
          <w:sz w:val="4"/>
          <w:szCs w:val="4"/>
          <w:lang w:eastAsia="fr-FR"/>
        </w:rPr>
        <w:drawing>
          <wp:inline distT="0" distB="0" distL="0" distR="0">
            <wp:extent cx="1463527" cy="1322962"/>
            <wp:effectExtent l="19050" t="0" r="3323" b="0"/>
            <wp:docPr id="1" name="Image 1" descr="c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pic:cNvPicPr>
                      <a:picLocks noChangeAspect="1" noChangeArrowheads="1"/>
                    </pic:cNvPicPr>
                  </pic:nvPicPr>
                  <pic:blipFill>
                    <a:blip r:embed="rId6" cstate="print"/>
                    <a:srcRect/>
                    <a:stretch>
                      <a:fillRect/>
                    </a:stretch>
                  </pic:blipFill>
                  <pic:spPr bwMode="auto">
                    <a:xfrm>
                      <a:off x="0" y="0"/>
                      <a:ext cx="1463527" cy="1322962"/>
                    </a:xfrm>
                    <a:prstGeom prst="rect">
                      <a:avLst/>
                    </a:prstGeom>
                    <a:noFill/>
                    <a:ln w="9525">
                      <a:noFill/>
                      <a:miter lim="800000"/>
                      <a:headEnd/>
                      <a:tailEnd/>
                    </a:ln>
                  </pic:spPr>
                </pic:pic>
              </a:graphicData>
            </a:graphic>
          </wp:inline>
        </w:drawing>
      </w:r>
    </w:p>
    <w:p w:rsidR="00A3472B" w:rsidRDefault="00A3472B" w:rsidP="00A3472B">
      <w:pPr>
        <w:pStyle w:val="Titre2"/>
        <w:shd w:val="clear" w:color="auto" w:fill="FFFFFF"/>
        <w:spacing w:line="368" w:lineRule="atLeast"/>
        <w:rPr>
          <w:rFonts w:ascii="Titillium Web" w:hAnsi="Titillium Web"/>
          <w:caps/>
        </w:rPr>
      </w:pPr>
      <w:r>
        <w:rPr>
          <w:rFonts w:ascii="Titillium Web" w:hAnsi="Titillium Web"/>
          <w:caps/>
        </w:rPr>
        <w:t>Consultations du CE – Réforme IRP – Loi Rebsamen</w:t>
      </w:r>
    </w:p>
    <w:p w:rsidR="00A3472B" w:rsidRDefault="00A3472B" w:rsidP="00A3472B">
      <w:pPr>
        <w:pStyle w:val="Titre1"/>
        <w:shd w:val="clear" w:color="auto" w:fill="FFFFFF"/>
        <w:spacing w:line="384" w:lineRule="atLeast"/>
        <w:rPr>
          <w:rFonts w:ascii="Titillium Web" w:hAnsi="Titillium Web"/>
        </w:rPr>
      </w:pPr>
      <w:r>
        <w:rPr>
          <w:rFonts w:ascii="Titillium Web" w:hAnsi="Titillium Web"/>
        </w:rPr>
        <w:t>Regroupement en 3 rendez-vous annuels de 17 consultations annuelles obligatoires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noProof/>
          <w:color w:val="666666"/>
          <w:sz w:val="28"/>
          <w:szCs w:val="28"/>
        </w:rPr>
        <w:drawing>
          <wp:inline distT="0" distB="0" distL="0" distR="0">
            <wp:extent cx="6858000" cy="4144010"/>
            <wp:effectExtent l="0" t="0" r="0" b="0"/>
            <wp:docPr id="6" name="Image 1" descr="Regroupement en 3 rendez-vous annuels de 17 consultations annuelles obligatoi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roupement en 3 rendez-vous annuels de 17 consultations annuelles obligatoires "/>
                    <pic:cNvPicPr>
                      <a:picLocks noChangeAspect="1" noChangeArrowheads="1"/>
                    </pic:cNvPicPr>
                  </pic:nvPicPr>
                  <pic:blipFill>
                    <a:blip r:embed="rId7" cstate="print"/>
                    <a:srcRect/>
                    <a:stretch>
                      <a:fillRect/>
                    </a:stretch>
                  </pic:blipFill>
                  <pic:spPr bwMode="auto">
                    <a:xfrm>
                      <a:off x="0" y="0"/>
                      <a:ext cx="6858000" cy="4144010"/>
                    </a:xfrm>
                    <a:prstGeom prst="rect">
                      <a:avLst/>
                    </a:prstGeom>
                    <a:noFill/>
                    <a:ln w="9525">
                      <a:noFill/>
                      <a:miter lim="800000"/>
                      <a:headEnd/>
                      <a:tailEnd/>
                    </a:ln>
                  </pic:spPr>
                </pic:pic>
              </a:graphicData>
            </a:graphic>
          </wp:inline>
        </w:drawing>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noProof/>
          <w:color w:val="666666"/>
          <w:sz w:val="28"/>
          <w:szCs w:val="28"/>
        </w:rPr>
        <w:lastRenderedPageBreak/>
        <w:drawing>
          <wp:inline distT="0" distB="0" distL="0" distR="0">
            <wp:extent cx="1430020" cy="1430020"/>
            <wp:effectExtent l="19050" t="0" r="0" b="0"/>
            <wp:docPr id="2" name="Image 2" descr="Consultations du CE - Réforme IRP - Loi Rebsamen - Le nombre de consultations annuelles du CE obligatoires passe de 17 à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tions du CE - Réforme IRP - Loi Rebsamen - Le nombre de consultations annuelles du CE obligatoires passe de 17 à 3"/>
                    <pic:cNvPicPr>
                      <a:picLocks noChangeAspect="1" noChangeArrowheads="1"/>
                    </pic:cNvPicPr>
                  </pic:nvPicPr>
                  <pic:blipFill>
                    <a:blip r:embed="rId8"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r>
        <w:rPr>
          <w:rFonts w:ascii="Titillium Web" w:hAnsi="Titillium Web"/>
          <w:color w:val="666666"/>
          <w:sz w:val="28"/>
          <w:szCs w:val="28"/>
        </w:rPr>
        <w:t xml:space="preserve">Le nombre de consultations annuelles </w:t>
      </w:r>
      <w:proofErr w:type="gramStart"/>
      <w:r>
        <w:rPr>
          <w:rFonts w:ascii="Titillium Web" w:hAnsi="Titillium Web"/>
          <w:color w:val="666666"/>
          <w:sz w:val="28"/>
          <w:szCs w:val="28"/>
        </w:rPr>
        <w:t>du</w:t>
      </w:r>
      <w:proofErr w:type="gramEnd"/>
      <w:r>
        <w:rPr>
          <w:rFonts w:ascii="Titillium Web" w:hAnsi="Titillium Web"/>
          <w:color w:val="666666"/>
          <w:sz w:val="28"/>
          <w:szCs w:val="28"/>
        </w:rPr>
        <w:t xml:space="preserve"> CE obligatoires passe de 17 à 3 ; la loi a en réalité regroupé ces consultations jusqu’alors distinctes en </w:t>
      </w:r>
      <w:r>
        <w:rPr>
          <w:rStyle w:val="lev"/>
          <w:rFonts w:ascii="Titillium Web" w:hAnsi="Titillium Web"/>
          <w:color w:val="666666"/>
          <w:sz w:val="28"/>
          <w:szCs w:val="28"/>
        </w:rPr>
        <w:t>3 grandes familles</w:t>
      </w:r>
      <w:r>
        <w:rPr>
          <w:rFonts w:ascii="Titillium Web" w:hAnsi="Titillium Web"/>
          <w:color w:val="666666"/>
          <w:sz w:val="28"/>
          <w:szCs w:val="28"/>
        </w:rPr>
        <w:t>. Les élus du comité d’entreprise seront consultés sur les 3 volets suivants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 </w:t>
      </w:r>
    </w:p>
    <w:p w:rsidR="00A3472B" w:rsidRDefault="00A3472B" w:rsidP="00A3472B">
      <w:pPr>
        <w:pStyle w:val="Titre2"/>
        <w:shd w:val="clear" w:color="auto" w:fill="FFFFFF"/>
        <w:spacing w:line="384" w:lineRule="atLeast"/>
        <w:rPr>
          <w:rFonts w:ascii="Titillium Web" w:hAnsi="Titillium Web"/>
        </w:rPr>
      </w:pPr>
      <w:r>
        <w:rPr>
          <w:rFonts w:ascii="Titillium Web" w:hAnsi="Titillium Web"/>
        </w:rPr>
        <w:t>Consultations du CE – La réforme des IRP – Loi Rebsamen – </w:t>
      </w:r>
      <w:r>
        <w:rPr>
          <w:rStyle w:val="lev"/>
          <w:rFonts w:ascii="Titillium Web" w:hAnsi="Titillium Web"/>
          <w:b/>
          <w:bCs/>
        </w:rPr>
        <w:t>Orientations stratégiques de l’entreprise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noProof/>
          <w:color w:val="666666"/>
          <w:sz w:val="28"/>
          <w:szCs w:val="28"/>
        </w:rPr>
        <w:drawing>
          <wp:inline distT="0" distB="0" distL="0" distR="0">
            <wp:extent cx="1430020" cy="1430020"/>
            <wp:effectExtent l="19050" t="0" r="0" b="0"/>
            <wp:docPr id="3" name="Image 3" descr="Consultations du CE - Réforme IRP - Loi Rebsamen - Consultation Les orientations stratégiques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ltations du CE - Réforme IRP - Loi Rebsamen - Consultation Les orientations stratégiques de l’entreprise"/>
                    <pic:cNvPicPr>
                      <a:picLocks noChangeAspect="1" noChangeArrowheads="1"/>
                    </pic:cNvPicPr>
                  </pic:nvPicPr>
                  <pic:blipFill>
                    <a:blip r:embed="rId9"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hyperlink r:id="rId10" w:history="1">
        <w:r>
          <w:rPr>
            <w:rStyle w:val="Lienhypertexte"/>
            <w:rFonts w:ascii="Titillium Web" w:hAnsi="Titillium Web"/>
            <w:sz w:val="28"/>
            <w:szCs w:val="28"/>
          </w:rPr>
          <w:t>Orientations stratégiques de l’entreprise</w:t>
        </w:r>
      </w:hyperlink>
      <w:r>
        <w:rPr>
          <w:rFonts w:ascii="Titillium Web" w:hAnsi="Titillium Web"/>
          <w:color w:val="666666"/>
          <w:sz w:val="28"/>
          <w:szCs w:val="28"/>
        </w:rPr>
        <w:t xml:space="preserve"> et les orientations de la formation professionnelle. Cette consultation porte, en outre, sur la gestion prévisionnelle des emplois et des compétences et sur les orientations de la formation professionnelle. </w:t>
      </w:r>
    </w:p>
    <w:p w:rsidR="00A3472B" w:rsidRDefault="00A3472B" w:rsidP="00A3472B">
      <w:pPr>
        <w:pStyle w:val="Titre2"/>
        <w:shd w:val="clear" w:color="auto" w:fill="FFFFFF"/>
        <w:spacing w:line="384" w:lineRule="atLeast"/>
        <w:rPr>
          <w:rFonts w:ascii="Titillium Web" w:hAnsi="Titillium Web"/>
        </w:rPr>
      </w:pPr>
      <w:r>
        <w:rPr>
          <w:rFonts w:ascii="Titillium Web" w:hAnsi="Titillium Web"/>
        </w:rPr>
        <w:t>Consultations du CE – La réforme des IRP – Loi Rebsamen – La situation économique et financière de l’entreprise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b/>
          <w:bCs/>
          <w:noProof/>
          <w:color w:val="666666"/>
          <w:sz w:val="28"/>
          <w:szCs w:val="28"/>
        </w:rPr>
        <w:drawing>
          <wp:inline distT="0" distB="0" distL="0" distR="0">
            <wp:extent cx="1430020" cy="1430020"/>
            <wp:effectExtent l="19050" t="0" r="0" b="0"/>
            <wp:docPr id="4" name="Image 4" descr="Consultations du CE - Réforme IRP - Loi Rebsamen - Consultation : La situation économique et financière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ltations du CE - Réforme IRP - Loi Rebsamen - Consultation : La situation économique et financière de l’entreprise"/>
                    <pic:cNvPicPr>
                      <a:picLocks noChangeAspect="1" noChangeArrowheads="1"/>
                    </pic:cNvPicPr>
                  </pic:nvPicPr>
                  <pic:blipFill>
                    <a:blip r:embed="rId11"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r>
        <w:rPr>
          <w:rStyle w:val="lev"/>
          <w:rFonts w:ascii="Titillium Web" w:hAnsi="Titillium Web"/>
          <w:color w:val="666666"/>
          <w:sz w:val="28"/>
          <w:szCs w:val="28"/>
        </w:rPr>
        <w:t>La situation économique et financière de l’entreprise</w:t>
      </w:r>
      <w:r>
        <w:rPr>
          <w:rFonts w:ascii="Titillium Web" w:hAnsi="Titillium Web"/>
          <w:color w:val="666666"/>
          <w:sz w:val="28"/>
          <w:szCs w:val="28"/>
        </w:rPr>
        <w:t>, ainsi que la politique de recherche et de développement.</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 </w:t>
      </w:r>
    </w:p>
    <w:p w:rsidR="00A3472B" w:rsidRDefault="00A3472B" w:rsidP="00A3472B">
      <w:pPr>
        <w:pStyle w:val="Titre2"/>
        <w:shd w:val="clear" w:color="auto" w:fill="FFFFFF"/>
        <w:spacing w:line="384" w:lineRule="atLeast"/>
        <w:rPr>
          <w:rFonts w:ascii="Titillium Web" w:hAnsi="Titillium Web"/>
        </w:rPr>
      </w:pPr>
      <w:r>
        <w:rPr>
          <w:rFonts w:ascii="Titillium Web" w:hAnsi="Titillium Web"/>
        </w:rPr>
        <w:lastRenderedPageBreak/>
        <w:t>Consultations du CE – La réforme des IRP – Loi Rebsamen – </w:t>
      </w:r>
      <w:r>
        <w:rPr>
          <w:rStyle w:val="lev"/>
          <w:rFonts w:ascii="Titillium Web" w:hAnsi="Titillium Web"/>
          <w:b/>
          <w:bCs/>
        </w:rPr>
        <w:t>La politique sociale de l’entreprise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b/>
          <w:bCs/>
          <w:noProof/>
          <w:color w:val="666666"/>
          <w:sz w:val="28"/>
          <w:szCs w:val="28"/>
        </w:rPr>
        <w:drawing>
          <wp:inline distT="0" distB="0" distL="0" distR="0">
            <wp:extent cx="1430020" cy="1430020"/>
            <wp:effectExtent l="19050" t="0" r="0" b="0"/>
            <wp:docPr id="5" name="Image 5" descr="Consultations du CE - Réforme IRP - Loi Reb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ultations du CE - Réforme IRP - Loi Rebsamen"/>
                    <pic:cNvPicPr>
                      <a:picLocks noChangeAspect="1" noChangeArrowheads="1"/>
                    </pic:cNvPicPr>
                  </pic:nvPicPr>
                  <pic:blipFill>
                    <a:blip r:embed="rId12"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r>
        <w:rPr>
          <w:rStyle w:val="lev"/>
          <w:rFonts w:ascii="Titillium Web" w:hAnsi="Titillium Web"/>
          <w:color w:val="666666"/>
          <w:sz w:val="28"/>
          <w:szCs w:val="28"/>
        </w:rPr>
        <w:t>Toutes les consultations sur la politique sociale de l’entreprise seront regroupées.</w:t>
      </w:r>
    </w:p>
    <w:p w:rsidR="00A3472B" w:rsidRDefault="00A3472B" w:rsidP="00A3472B">
      <w:pPr>
        <w:pStyle w:val="NormalWeb"/>
        <w:shd w:val="clear" w:color="auto" w:fill="FFFFFF"/>
        <w:spacing w:line="384" w:lineRule="atLeast"/>
        <w:rPr>
          <w:rFonts w:ascii="Titillium Web" w:hAnsi="Titillium Web"/>
          <w:color w:val="666666"/>
          <w:sz w:val="28"/>
          <w:szCs w:val="28"/>
        </w:rPr>
      </w:pPr>
      <w:r>
        <w:rPr>
          <w:rStyle w:val="lev"/>
          <w:rFonts w:ascii="Titillium Web" w:hAnsi="Titillium Web"/>
          <w:color w:val="666666"/>
          <w:sz w:val="28"/>
          <w:szCs w:val="28"/>
        </w:rPr>
        <w:t>La politique sociale de l’entreprise</w:t>
      </w:r>
      <w:r>
        <w:rPr>
          <w:rFonts w:ascii="Titillium Web" w:hAnsi="Titillium Web"/>
          <w:color w:val="666666"/>
          <w:sz w:val="28"/>
          <w:szCs w:val="28"/>
        </w:rPr>
        <w:t>, les conditions de travail et l’emploi incluant notamment la formation, la durée et l’aménagement du temps de travail, le bilan social et l’égalité professionnelle.</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 </w:t>
      </w:r>
    </w:p>
    <w:p w:rsidR="00A3472B" w:rsidRDefault="00A3472B" w:rsidP="00A3472B">
      <w:pPr>
        <w:pStyle w:val="NormalWeb"/>
        <w:shd w:val="clear" w:color="auto" w:fill="FFFFFF"/>
        <w:spacing w:line="384" w:lineRule="atLeast"/>
        <w:rPr>
          <w:rFonts w:ascii="Titillium Web" w:hAnsi="Titillium Web"/>
          <w:color w:val="666666"/>
          <w:sz w:val="28"/>
          <w:szCs w:val="28"/>
        </w:rPr>
      </w:pPr>
      <w:r>
        <w:rPr>
          <w:rFonts w:ascii="Titillium Web" w:hAnsi="Titillium Web"/>
          <w:color w:val="666666"/>
          <w:sz w:val="28"/>
          <w:szCs w:val="28"/>
        </w:rPr>
        <w:t>Certaines consultations trimestrielles demeurent en revanche dans les entreprises de 300 salariés et plus.</w:t>
      </w:r>
    </w:p>
    <w:p w:rsidR="00A3472B" w:rsidRDefault="00A3472B" w:rsidP="00A3472B">
      <w:pPr>
        <w:pStyle w:val="NormalWeb"/>
        <w:shd w:val="clear" w:color="auto" w:fill="FFFFFF"/>
        <w:spacing w:line="384" w:lineRule="atLeast"/>
        <w:rPr>
          <w:rFonts w:ascii="Titillium Web" w:hAnsi="Titillium Web"/>
          <w:color w:val="666666"/>
          <w:sz w:val="28"/>
          <w:szCs w:val="28"/>
        </w:rPr>
      </w:pPr>
      <w:r>
        <w:rPr>
          <w:rStyle w:val="lev"/>
          <w:rFonts w:ascii="Titillium Web" w:hAnsi="Titillium Web"/>
          <w:color w:val="666666"/>
          <w:sz w:val="28"/>
          <w:szCs w:val="28"/>
        </w:rPr>
        <w:t>Un décret</w:t>
      </w:r>
      <w:r>
        <w:rPr>
          <w:rFonts w:ascii="Titillium Web" w:hAnsi="Titillium Web"/>
          <w:color w:val="666666"/>
          <w:sz w:val="28"/>
          <w:szCs w:val="28"/>
        </w:rPr>
        <w:t xml:space="preserve"> </w:t>
      </w:r>
      <w:r>
        <w:rPr>
          <w:rStyle w:val="lev"/>
          <w:rFonts w:ascii="Titillium Web" w:hAnsi="Titillium Web"/>
          <w:color w:val="666666"/>
          <w:sz w:val="28"/>
          <w:szCs w:val="28"/>
        </w:rPr>
        <w:t>précisera le contenu des informations</w:t>
      </w:r>
      <w:r>
        <w:rPr>
          <w:rFonts w:ascii="Titillium Web" w:hAnsi="Titillium Web"/>
          <w:color w:val="666666"/>
          <w:sz w:val="28"/>
          <w:szCs w:val="28"/>
        </w:rPr>
        <w:t xml:space="preserve"> que l’employeur devra transmettre </w:t>
      </w:r>
      <w:proofErr w:type="gramStart"/>
      <w:r>
        <w:rPr>
          <w:rFonts w:ascii="Titillium Web" w:hAnsi="Titillium Web"/>
          <w:color w:val="666666"/>
          <w:sz w:val="28"/>
          <w:szCs w:val="28"/>
        </w:rPr>
        <w:t>au</w:t>
      </w:r>
      <w:proofErr w:type="gramEnd"/>
      <w:r>
        <w:rPr>
          <w:rFonts w:ascii="Titillium Web" w:hAnsi="Titillium Web"/>
          <w:color w:val="666666"/>
          <w:sz w:val="28"/>
          <w:szCs w:val="28"/>
        </w:rPr>
        <w:t xml:space="preserve"> CE pour chaque type de réunion (thématique et trimestrielle). Celles-ci pourront varier selon que l’entreprise compte plus ou moins de 300 salariés. Elles seront mises à disposition de l’inspecteur du travail accompagnées de l’avis </w:t>
      </w:r>
      <w:proofErr w:type="gramStart"/>
      <w:r>
        <w:rPr>
          <w:rFonts w:ascii="Titillium Web" w:hAnsi="Titillium Web"/>
          <w:color w:val="666666"/>
          <w:sz w:val="28"/>
          <w:szCs w:val="28"/>
        </w:rPr>
        <w:t>du</w:t>
      </w:r>
      <w:proofErr w:type="gramEnd"/>
      <w:r>
        <w:rPr>
          <w:rFonts w:ascii="Titillium Web" w:hAnsi="Titillium Web"/>
          <w:color w:val="666666"/>
          <w:sz w:val="28"/>
          <w:szCs w:val="28"/>
        </w:rPr>
        <w:t xml:space="preserve"> CE.</w:t>
      </w:r>
    </w:p>
    <w:p w:rsidR="00A3472B" w:rsidRDefault="00A3472B" w:rsidP="00A3472B">
      <w:pPr>
        <w:pStyle w:val="NormalWeb"/>
        <w:shd w:val="clear" w:color="auto" w:fill="FFFFFF"/>
        <w:spacing w:line="384" w:lineRule="atLeast"/>
        <w:rPr>
          <w:rFonts w:ascii="Titillium Web" w:hAnsi="Titillium Web"/>
          <w:color w:val="666666"/>
          <w:sz w:val="28"/>
          <w:szCs w:val="28"/>
        </w:rPr>
      </w:pPr>
      <w:r>
        <w:rPr>
          <w:rStyle w:val="lev"/>
          <w:rFonts w:ascii="Titillium Web" w:hAnsi="Titillium Web"/>
          <w:color w:val="666666"/>
          <w:sz w:val="28"/>
          <w:szCs w:val="28"/>
        </w:rPr>
        <w:t xml:space="preserve">Un accord d’entreprise </w:t>
      </w:r>
      <w:r>
        <w:rPr>
          <w:rFonts w:ascii="Titillium Web" w:hAnsi="Titillium Web"/>
          <w:color w:val="666666"/>
          <w:sz w:val="28"/>
          <w:szCs w:val="28"/>
        </w:rPr>
        <w:t>peut définir les modalités de consultations du CE, la liste et le contenu des informations (l’accord se substituera ainsi au décret), le nombre de réunions annuelles (6 minimum) et les délais dans lesquels le CE doit rendre son avis.</w:t>
      </w:r>
    </w:p>
    <w:p w:rsidR="00A3472B" w:rsidRDefault="00A3472B"/>
    <w:sectPr w:rsidR="00A3472B" w:rsidSect="00CA76F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F2" w:rsidRDefault="00CA76F2" w:rsidP="00CA76F2">
      <w:pPr>
        <w:spacing w:after="0" w:line="240" w:lineRule="auto"/>
      </w:pPr>
      <w:r>
        <w:separator/>
      </w:r>
    </w:p>
  </w:endnote>
  <w:endnote w:type="continuationSeparator" w:id="0">
    <w:p w:rsidR="00CA76F2" w:rsidRDefault="00CA76F2" w:rsidP="00CA7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2" w:rsidRDefault="00E131BE" w:rsidP="00CA76F2">
    <w:pPr>
      <w:pStyle w:val="Pieddepage"/>
      <w:pBdr>
        <w:top w:val="thinThickSmallGap" w:sz="24" w:space="1" w:color="622423" w:themeColor="accent2" w:themeShade="7F"/>
      </w:pBdr>
      <w:jc w:val="right"/>
      <w:rPr>
        <w:rFonts w:asciiTheme="majorHAnsi" w:hAnsiTheme="majorHAnsi"/>
      </w:rPr>
    </w:pPr>
    <w:hyperlink r:id="rId1" w:history="1">
      <w:r w:rsidR="00CA76F2" w:rsidRPr="00AA18A8">
        <w:rPr>
          <w:rStyle w:val="Lienhypertexte"/>
          <w:rFonts w:asciiTheme="majorHAnsi" w:hAnsiTheme="majorHAnsi"/>
        </w:rPr>
        <w:t>stephane.leteinturier@snec-cftc.fr</w:t>
      </w:r>
    </w:hyperlink>
  </w:p>
  <w:p w:rsidR="00CA76F2" w:rsidRDefault="00CA76F2">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A3472B" w:rsidRPr="00A3472B">
        <w:rPr>
          <w:rFonts w:asciiTheme="majorHAnsi" w:hAnsiTheme="majorHAnsi"/>
          <w:noProof/>
        </w:rPr>
        <w:t>1</w:t>
      </w:r>
    </w:fldSimple>
  </w:p>
  <w:p w:rsidR="00CA76F2" w:rsidRDefault="00CA76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F2" w:rsidRDefault="00CA76F2" w:rsidP="00CA76F2">
      <w:pPr>
        <w:spacing w:after="0" w:line="240" w:lineRule="auto"/>
      </w:pPr>
      <w:r>
        <w:separator/>
      </w:r>
    </w:p>
  </w:footnote>
  <w:footnote w:type="continuationSeparator" w:id="0">
    <w:p w:rsidR="00CA76F2" w:rsidRDefault="00CA76F2" w:rsidP="00CA7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2" w:rsidRDefault="00CA76F2" w:rsidP="00CA76F2">
    <w:pPr>
      <w:pStyle w:val="En-tte"/>
      <w:tabs>
        <w:tab w:val="clear" w:pos="4536"/>
        <w:tab w:val="clear" w:pos="9072"/>
        <w:tab w:val="left" w:pos="4565"/>
      </w:tabs>
      <w:jc w:val="center"/>
    </w:pPr>
    <w:r>
      <w:t>FORMATION IRP – 30 et 31 mars 2016 - PERPIGNAN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76F2"/>
    <w:rsid w:val="00A3472B"/>
    <w:rsid w:val="00A91EFB"/>
    <w:rsid w:val="00CA76F2"/>
    <w:rsid w:val="00E131BE"/>
    <w:rsid w:val="00E36A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88"/>
  </w:style>
  <w:style w:type="paragraph" w:styleId="Titre1">
    <w:name w:val="heading 1"/>
    <w:basedOn w:val="Normal"/>
    <w:link w:val="Titre1Car"/>
    <w:uiPriority w:val="9"/>
    <w:qFormat/>
    <w:rsid w:val="00A3472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fr-FR"/>
    </w:rPr>
  </w:style>
  <w:style w:type="paragraph" w:styleId="Titre2">
    <w:name w:val="heading 2"/>
    <w:basedOn w:val="Normal"/>
    <w:link w:val="Titre2Car"/>
    <w:uiPriority w:val="9"/>
    <w:qFormat/>
    <w:rsid w:val="00A3472B"/>
    <w:pPr>
      <w:spacing w:before="100" w:beforeAutospacing="1" w:after="100" w:afterAutospacing="1" w:line="240" w:lineRule="auto"/>
      <w:outlineLvl w:val="1"/>
    </w:pPr>
    <w:rPr>
      <w:rFonts w:ascii="Times New Roman" w:eastAsia="Times New Roman" w:hAnsi="Times New Roman" w:cs="Times New Roman"/>
      <w:b/>
      <w:bCs/>
      <w:color w:val="444444"/>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7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6F2"/>
    <w:rPr>
      <w:rFonts w:ascii="Tahoma" w:hAnsi="Tahoma" w:cs="Tahoma"/>
      <w:sz w:val="16"/>
      <w:szCs w:val="16"/>
    </w:rPr>
  </w:style>
  <w:style w:type="paragraph" w:styleId="En-tte">
    <w:name w:val="header"/>
    <w:basedOn w:val="Normal"/>
    <w:link w:val="En-tteCar"/>
    <w:uiPriority w:val="99"/>
    <w:semiHidden/>
    <w:unhideWhenUsed/>
    <w:rsid w:val="00CA76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76F2"/>
  </w:style>
  <w:style w:type="paragraph" w:styleId="Pieddepage">
    <w:name w:val="footer"/>
    <w:basedOn w:val="Normal"/>
    <w:link w:val="PieddepageCar"/>
    <w:uiPriority w:val="99"/>
    <w:unhideWhenUsed/>
    <w:rsid w:val="00CA7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6F2"/>
  </w:style>
  <w:style w:type="character" w:styleId="Lienhypertexte">
    <w:name w:val="Hyperlink"/>
    <w:basedOn w:val="Policepardfaut"/>
    <w:uiPriority w:val="99"/>
    <w:unhideWhenUsed/>
    <w:rsid w:val="00CA76F2"/>
    <w:rPr>
      <w:color w:val="0000FF" w:themeColor="hyperlink"/>
      <w:u w:val="single"/>
    </w:rPr>
  </w:style>
  <w:style w:type="character" w:customStyle="1" w:styleId="Titre1Car">
    <w:name w:val="Titre 1 Car"/>
    <w:basedOn w:val="Policepardfaut"/>
    <w:link w:val="Titre1"/>
    <w:uiPriority w:val="9"/>
    <w:rsid w:val="00A3472B"/>
    <w:rPr>
      <w:rFonts w:ascii="Times New Roman" w:eastAsia="Times New Roman" w:hAnsi="Times New Roman" w:cs="Times New Roman"/>
      <w:b/>
      <w:bCs/>
      <w:color w:val="444444"/>
      <w:kern w:val="36"/>
      <w:sz w:val="48"/>
      <w:szCs w:val="48"/>
      <w:lang w:eastAsia="fr-FR"/>
    </w:rPr>
  </w:style>
  <w:style w:type="character" w:customStyle="1" w:styleId="Titre2Car">
    <w:name w:val="Titre 2 Car"/>
    <w:basedOn w:val="Policepardfaut"/>
    <w:link w:val="Titre2"/>
    <w:uiPriority w:val="9"/>
    <w:rsid w:val="00A3472B"/>
    <w:rPr>
      <w:rFonts w:ascii="Times New Roman" w:eastAsia="Times New Roman" w:hAnsi="Times New Roman" w:cs="Times New Roman"/>
      <w:b/>
      <w:bCs/>
      <w:color w:val="444444"/>
      <w:sz w:val="36"/>
      <w:szCs w:val="36"/>
      <w:lang w:eastAsia="fr-FR"/>
    </w:rPr>
  </w:style>
  <w:style w:type="character" w:styleId="Accentuation">
    <w:name w:val="Emphasis"/>
    <w:basedOn w:val="Policepardfaut"/>
    <w:uiPriority w:val="20"/>
    <w:qFormat/>
    <w:rsid w:val="00A3472B"/>
    <w:rPr>
      <w:i/>
      <w:iCs/>
    </w:rPr>
  </w:style>
  <w:style w:type="character" w:styleId="lev">
    <w:name w:val="Strong"/>
    <w:basedOn w:val="Policepardfaut"/>
    <w:uiPriority w:val="22"/>
    <w:qFormat/>
    <w:rsid w:val="00A3472B"/>
    <w:rPr>
      <w:b/>
      <w:bCs/>
    </w:rPr>
  </w:style>
  <w:style w:type="paragraph" w:styleId="NormalWeb">
    <w:name w:val="Normal (Web)"/>
    <w:basedOn w:val="Normal"/>
    <w:uiPriority w:val="99"/>
    <w:semiHidden/>
    <w:unhideWhenUsed/>
    <w:rsid w:val="00A3472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4547841">
      <w:bodyDiv w:val="1"/>
      <w:marLeft w:val="0"/>
      <w:marRight w:val="0"/>
      <w:marTop w:val="0"/>
      <w:marBottom w:val="0"/>
      <w:divBdr>
        <w:top w:val="none" w:sz="0" w:space="0" w:color="auto"/>
        <w:left w:val="none" w:sz="0" w:space="0" w:color="auto"/>
        <w:bottom w:val="none" w:sz="0" w:space="0" w:color="auto"/>
        <w:right w:val="none" w:sz="0" w:space="0" w:color="auto"/>
      </w:divBdr>
      <w:divsChild>
        <w:div w:id="1912959192">
          <w:marLeft w:val="0"/>
          <w:marRight w:val="0"/>
          <w:marTop w:val="0"/>
          <w:marBottom w:val="0"/>
          <w:divBdr>
            <w:top w:val="none" w:sz="0" w:space="0" w:color="auto"/>
            <w:left w:val="none" w:sz="0" w:space="0" w:color="auto"/>
            <w:bottom w:val="none" w:sz="0" w:space="0" w:color="auto"/>
            <w:right w:val="none" w:sz="0" w:space="0" w:color="auto"/>
          </w:divBdr>
          <w:divsChild>
            <w:div w:id="519245828">
              <w:marLeft w:val="0"/>
              <w:marRight w:val="0"/>
              <w:marTop w:val="0"/>
              <w:marBottom w:val="0"/>
              <w:divBdr>
                <w:top w:val="none" w:sz="0" w:space="0" w:color="auto"/>
                <w:left w:val="none" w:sz="0" w:space="0" w:color="auto"/>
                <w:bottom w:val="none" w:sz="0" w:space="0" w:color="auto"/>
                <w:right w:val="none" w:sz="0" w:space="0" w:color="auto"/>
              </w:divBdr>
              <w:divsChild>
                <w:div w:id="935483619">
                  <w:marLeft w:val="0"/>
                  <w:marRight w:val="0"/>
                  <w:marTop w:val="0"/>
                  <w:marBottom w:val="0"/>
                  <w:divBdr>
                    <w:top w:val="none" w:sz="0" w:space="0" w:color="auto"/>
                    <w:left w:val="none" w:sz="0" w:space="0" w:color="auto"/>
                    <w:bottom w:val="none" w:sz="0" w:space="0" w:color="auto"/>
                    <w:right w:val="none" w:sz="0" w:space="0" w:color="auto"/>
                  </w:divBdr>
                  <w:divsChild>
                    <w:div w:id="173690043">
                      <w:marLeft w:val="0"/>
                      <w:marRight w:val="0"/>
                      <w:marTop w:val="0"/>
                      <w:marBottom w:val="0"/>
                      <w:divBdr>
                        <w:top w:val="none" w:sz="0" w:space="0" w:color="auto"/>
                        <w:left w:val="none" w:sz="0" w:space="0" w:color="auto"/>
                        <w:bottom w:val="none" w:sz="0" w:space="0" w:color="auto"/>
                        <w:right w:val="none" w:sz="0" w:space="0" w:color="auto"/>
                      </w:divBdr>
                      <w:divsChild>
                        <w:div w:id="1308052866">
                          <w:marLeft w:val="0"/>
                          <w:marRight w:val="0"/>
                          <w:marTop w:val="0"/>
                          <w:marBottom w:val="0"/>
                          <w:divBdr>
                            <w:top w:val="none" w:sz="0" w:space="0" w:color="auto"/>
                            <w:left w:val="none" w:sz="0" w:space="0" w:color="auto"/>
                            <w:bottom w:val="none" w:sz="0" w:space="0" w:color="auto"/>
                            <w:right w:val="none" w:sz="0" w:space="0" w:color="auto"/>
                          </w:divBdr>
                          <w:divsChild>
                            <w:div w:id="114952673">
                              <w:marLeft w:val="0"/>
                              <w:marRight w:val="0"/>
                              <w:marTop w:val="0"/>
                              <w:marBottom w:val="0"/>
                              <w:divBdr>
                                <w:top w:val="none" w:sz="0" w:space="0" w:color="auto"/>
                                <w:left w:val="none" w:sz="0" w:space="0" w:color="auto"/>
                                <w:bottom w:val="single" w:sz="6" w:space="13" w:color="EEEEEE"/>
                                <w:right w:val="none" w:sz="0" w:space="0" w:color="auto"/>
                              </w:divBdr>
                            </w:div>
                            <w:div w:id="1306817576">
                              <w:marLeft w:val="0"/>
                              <w:marRight w:val="0"/>
                              <w:marTop w:val="0"/>
                              <w:marBottom w:val="0"/>
                              <w:divBdr>
                                <w:top w:val="none" w:sz="0" w:space="0" w:color="auto"/>
                                <w:left w:val="none" w:sz="0" w:space="0" w:color="auto"/>
                                <w:bottom w:val="none" w:sz="0" w:space="0" w:color="auto"/>
                                <w:right w:val="none" w:sz="0" w:space="0" w:color="auto"/>
                              </w:divBdr>
                              <w:divsChild>
                                <w:div w:id="19938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appyce.fr/ce-recherche-alphabetique/orientations-strategiques-consultation/"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phane.leteinturier@snec-cft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1819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2016-03-28T20:13:00Z</dcterms:created>
  <dcterms:modified xsi:type="dcterms:W3CDTF">2016-03-28T20:13:00Z</dcterms:modified>
</cp:coreProperties>
</file>